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CB" w:rsidRDefault="00305CCB" w:rsidP="00305CCB">
      <w:pPr>
        <w:jc w:val="center"/>
        <w:rPr>
          <w:b/>
          <w:smallCaps/>
        </w:rPr>
      </w:pPr>
      <w:bookmarkStart w:id="0" w:name="_GoBack"/>
      <w:bookmarkEnd w:id="0"/>
      <w:r>
        <w:rPr>
          <w:b/>
          <w:sz w:val="36"/>
          <w:szCs w:val="36"/>
        </w:rPr>
        <w:t>RELAZIONE DESCRITTIVA</w:t>
      </w:r>
    </w:p>
    <w:p w:rsidR="00305CCB" w:rsidRDefault="00305CCB" w:rsidP="00305CCB">
      <w:pPr>
        <w:spacing w:after="120"/>
        <w:jc w:val="center"/>
        <w:rPr>
          <w:b/>
          <w:smallCaps/>
        </w:rPr>
      </w:pPr>
      <w:r w:rsidRPr="00007B0B">
        <w:rPr>
          <w:b/>
          <w:smallCaps/>
        </w:rPr>
        <w:t>Servizio di Conduzione e Manutenzione presso Edifici UNINA in sei lotti</w:t>
      </w:r>
    </w:p>
    <w:tbl>
      <w:tblPr>
        <w:tblStyle w:val="Grigliatabella"/>
        <w:tblW w:w="2547" w:type="dxa"/>
        <w:tblInd w:w="7650" w:type="dxa"/>
        <w:tblLook w:val="04A0" w:firstRow="1" w:lastRow="0" w:firstColumn="1" w:lastColumn="0" w:noHBand="0" w:noVBand="1"/>
      </w:tblPr>
      <w:tblGrid>
        <w:gridCol w:w="1555"/>
        <w:gridCol w:w="992"/>
      </w:tblGrid>
      <w:tr w:rsidR="00305CCB" w:rsidTr="00305CCB">
        <w:tc>
          <w:tcPr>
            <w:tcW w:w="1555" w:type="dxa"/>
            <w:vAlign w:val="center"/>
          </w:tcPr>
          <w:p w:rsidR="00305CCB" w:rsidRPr="00305CCB" w:rsidRDefault="00305CCB">
            <w:pPr>
              <w:rPr>
                <w:b/>
              </w:rPr>
            </w:pPr>
            <w:r w:rsidRPr="00305CCB">
              <w:rPr>
                <w:b/>
              </w:rPr>
              <w:t>LOTTO n.</w:t>
            </w:r>
          </w:p>
        </w:tc>
        <w:tc>
          <w:tcPr>
            <w:tcW w:w="992" w:type="dxa"/>
            <w:vAlign w:val="center"/>
          </w:tcPr>
          <w:p w:rsidR="00305CCB" w:rsidRPr="00305CCB" w:rsidRDefault="00305CCB" w:rsidP="00305CCB">
            <w:pPr>
              <w:jc w:val="center"/>
              <w:rPr>
                <w:b/>
                <w:sz w:val="40"/>
                <w:szCs w:val="40"/>
              </w:rPr>
            </w:pPr>
            <w:r w:rsidRPr="00305CCB">
              <w:rPr>
                <w:b/>
                <w:sz w:val="40"/>
                <w:szCs w:val="40"/>
                <w:highlight w:val="yellow"/>
              </w:rPr>
              <w:t>XX</w:t>
            </w:r>
          </w:p>
        </w:tc>
      </w:tr>
    </w:tbl>
    <w:p w:rsidR="00305CCB" w:rsidRPr="00305CCB" w:rsidRDefault="00305CCB"/>
    <w:p w:rsidR="00305CCB" w:rsidRPr="005704C9" w:rsidRDefault="00305CCB" w:rsidP="006F6B19">
      <w:pPr>
        <w:spacing w:after="120"/>
        <w:rPr>
          <w:b/>
          <w:color w:val="2F5496" w:themeColor="accent1" w:themeShade="BF"/>
          <w:sz w:val="26"/>
          <w:szCs w:val="26"/>
        </w:rPr>
      </w:pPr>
      <w:r w:rsidRPr="005704C9">
        <w:rPr>
          <w:rFonts w:cs="Calibri"/>
          <w:b/>
          <w:color w:val="2F5496" w:themeColor="accent1" w:themeShade="BF"/>
          <w:sz w:val="26"/>
          <w:szCs w:val="26"/>
        </w:rPr>
        <w:t xml:space="preserve">B.1) </w:t>
      </w:r>
      <w:r w:rsidR="006F6B19">
        <w:rPr>
          <w:rFonts w:cs="Calibri"/>
          <w:b/>
          <w:color w:val="2F5496" w:themeColor="accent1" w:themeShade="BF"/>
          <w:sz w:val="26"/>
          <w:szCs w:val="26"/>
        </w:rPr>
        <w:t>M</w:t>
      </w:r>
      <w:r w:rsidRPr="005704C9">
        <w:rPr>
          <w:rFonts w:cs="Calibri"/>
          <w:b/>
          <w:color w:val="2F5496" w:themeColor="accent1" w:themeShade="BF"/>
          <w:sz w:val="26"/>
          <w:szCs w:val="26"/>
        </w:rPr>
        <w:t>iglioramento della qualità dei servizi “a canone”</w:t>
      </w:r>
    </w:p>
    <w:p w:rsidR="00305CCB" w:rsidRPr="00305CCB" w:rsidRDefault="00305CCB" w:rsidP="00305CCB">
      <w:pPr>
        <w:ind w:left="426"/>
        <w:rPr>
          <w:rFonts w:cs="Calibri"/>
          <w:b/>
          <w:color w:val="2F5496" w:themeColor="accent1" w:themeShade="BF"/>
          <w:sz w:val="22"/>
          <w:u w:val="single"/>
        </w:rPr>
      </w:pPr>
      <w:r w:rsidRPr="00305CCB">
        <w:rPr>
          <w:rFonts w:cs="Calibri"/>
          <w:b/>
          <w:color w:val="2F5496" w:themeColor="accent1" w:themeShade="BF"/>
          <w:sz w:val="22"/>
        </w:rPr>
        <w:t xml:space="preserve">B.1.1) </w:t>
      </w:r>
      <w:r w:rsidRPr="00305CCB">
        <w:rPr>
          <w:rFonts w:cs="Calibri"/>
          <w:b/>
          <w:color w:val="2F5496" w:themeColor="accent1" w:themeShade="BF"/>
          <w:sz w:val="22"/>
          <w:u w:val="single"/>
        </w:rPr>
        <w:t>migliorie relative alla tipologia delle attività manutentive preventive e programmate</w:t>
      </w:r>
    </w:p>
    <w:p w:rsidR="00305CCB" w:rsidRPr="00305CCB" w:rsidRDefault="00305CCB"/>
    <w:p w:rsidR="00305CCB" w:rsidRDefault="00305CCB"/>
    <w:p w:rsidR="00305CCB" w:rsidRPr="00305CCB" w:rsidRDefault="00305CCB" w:rsidP="005704C9">
      <w:pPr>
        <w:spacing w:line="240" w:lineRule="auto"/>
        <w:ind w:left="1134" w:hanging="709"/>
        <w:rPr>
          <w:rFonts w:cs="Calibri"/>
          <w:b/>
          <w:color w:val="2F5496" w:themeColor="accent1" w:themeShade="BF"/>
          <w:sz w:val="22"/>
          <w:u w:val="single"/>
        </w:rPr>
      </w:pPr>
      <w:r w:rsidRPr="00305CCB">
        <w:rPr>
          <w:rFonts w:cs="Calibri"/>
          <w:b/>
          <w:color w:val="2F5496" w:themeColor="accent1" w:themeShade="BF"/>
          <w:sz w:val="22"/>
        </w:rPr>
        <w:t xml:space="preserve">B.1.2) </w:t>
      </w:r>
      <w:r w:rsidRPr="00305CCB">
        <w:rPr>
          <w:rFonts w:cs="Calibri"/>
          <w:b/>
          <w:color w:val="2F5496" w:themeColor="accent1" w:themeShade="BF"/>
          <w:sz w:val="22"/>
          <w:u w:val="single"/>
        </w:rPr>
        <w:t xml:space="preserve">migliorie relative </w:t>
      </w:r>
      <w:r w:rsidR="005704C9" w:rsidRPr="005704C9">
        <w:rPr>
          <w:rFonts w:cs="Calibri"/>
          <w:b/>
          <w:color w:val="2F5496" w:themeColor="accent1" w:themeShade="BF"/>
          <w:sz w:val="22"/>
          <w:u w:val="single"/>
        </w:rPr>
        <w:t>alla rimodulazione delle frequenze per le attività di manutenzione preventiva e programmata</w:t>
      </w:r>
    </w:p>
    <w:p w:rsidR="00305CCB" w:rsidRDefault="00305CCB"/>
    <w:p w:rsidR="005704C9" w:rsidRDefault="005704C9"/>
    <w:p w:rsidR="005704C9" w:rsidRPr="005704C9" w:rsidRDefault="005704C9" w:rsidP="006F6B19">
      <w:pPr>
        <w:spacing w:after="120"/>
        <w:rPr>
          <w:b/>
          <w:color w:val="2F5496" w:themeColor="accent1" w:themeShade="BF"/>
          <w:sz w:val="26"/>
          <w:szCs w:val="26"/>
        </w:rPr>
      </w:pPr>
      <w:r w:rsidRPr="005704C9">
        <w:rPr>
          <w:rFonts w:cs="Calibri"/>
          <w:b/>
          <w:color w:val="2F5496" w:themeColor="accent1" w:themeShade="BF"/>
          <w:sz w:val="26"/>
          <w:szCs w:val="26"/>
        </w:rPr>
        <w:t xml:space="preserve">B.2) </w:t>
      </w:r>
      <w:r w:rsidR="006F6B19">
        <w:rPr>
          <w:rFonts w:cs="Calibri"/>
          <w:b/>
          <w:color w:val="2F5496" w:themeColor="accent1" w:themeShade="BF"/>
          <w:sz w:val="26"/>
          <w:szCs w:val="26"/>
        </w:rPr>
        <w:t>M</w:t>
      </w:r>
      <w:r w:rsidRPr="005704C9">
        <w:rPr>
          <w:rFonts w:cs="Calibri"/>
          <w:b/>
          <w:color w:val="2F5496" w:themeColor="accent1" w:themeShade="BF"/>
          <w:sz w:val="26"/>
          <w:szCs w:val="26"/>
        </w:rPr>
        <w:t>iglioramento della qualità dell’anagrafica tecnica</w:t>
      </w:r>
    </w:p>
    <w:p w:rsidR="005704C9" w:rsidRPr="00305CCB" w:rsidRDefault="005704C9" w:rsidP="005704C9">
      <w:pPr>
        <w:ind w:left="426"/>
        <w:rPr>
          <w:rFonts w:cs="Calibri"/>
          <w:b/>
          <w:color w:val="2F5496" w:themeColor="accent1" w:themeShade="BF"/>
          <w:sz w:val="22"/>
          <w:u w:val="single"/>
        </w:rPr>
      </w:pPr>
      <w:r w:rsidRPr="00305CCB">
        <w:rPr>
          <w:rFonts w:cs="Calibri"/>
          <w:b/>
          <w:color w:val="2F5496" w:themeColor="accent1" w:themeShade="BF"/>
          <w:sz w:val="22"/>
        </w:rPr>
        <w:t>B.</w:t>
      </w:r>
      <w:r>
        <w:rPr>
          <w:rFonts w:cs="Calibri"/>
          <w:b/>
          <w:color w:val="2F5496" w:themeColor="accent1" w:themeShade="BF"/>
          <w:sz w:val="22"/>
        </w:rPr>
        <w:t>2.</w:t>
      </w:r>
      <w:r w:rsidRPr="00305CCB">
        <w:rPr>
          <w:rFonts w:cs="Calibri"/>
          <w:b/>
          <w:color w:val="2F5496" w:themeColor="accent1" w:themeShade="BF"/>
          <w:sz w:val="22"/>
        </w:rPr>
        <w:t xml:space="preserve">1) </w:t>
      </w:r>
      <w:r w:rsidRPr="00305CCB">
        <w:rPr>
          <w:rFonts w:cs="Calibri"/>
          <w:b/>
          <w:color w:val="2F5496" w:themeColor="accent1" w:themeShade="BF"/>
          <w:sz w:val="22"/>
          <w:u w:val="single"/>
        </w:rPr>
        <w:t xml:space="preserve">migliorie relative </w:t>
      </w:r>
      <w:r w:rsidRPr="005704C9">
        <w:rPr>
          <w:rFonts w:cs="Calibri"/>
          <w:b/>
          <w:color w:val="2F5496" w:themeColor="accent1" w:themeShade="BF"/>
          <w:sz w:val="22"/>
          <w:u w:val="single"/>
        </w:rPr>
        <w:t>alle specifiche per la gestione dell’anagrafica tecnica</w:t>
      </w:r>
    </w:p>
    <w:p w:rsidR="005704C9" w:rsidRDefault="005704C9"/>
    <w:p w:rsidR="005704C9" w:rsidRDefault="005704C9"/>
    <w:p w:rsidR="005704C9" w:rsidRPr="00305CCB" w:rsidRDefault="005704C9" w:rsidP="005704C9">
      <w:pPr>
        <w:ind w:left="1134" w:hanging="708"/>
        <w:rPr>
          <w:rFonts w:cs="Calibri"/>
          <w:b/>
          <w:color w:val="2F5496" w:themeColor="accent1" w:themeShade="BF"/>
          <w:sz w:val="22"/>
          <w:u w:val="single"/>
        </w:rPr>
      </w:pPr>
      <w:r w:rsidRPr="00305CCB">
        <w:rPr>
          <w:rFonts w:cs="Calibri"/>
          <w:b/>
          <w:color w:val="2F5496" w:themeColor="accent1" w:themeShade="BF"/>
          <w:sz w:val="22"/>
        </w:rPr>
        <w:t>B.</w:t>
      </w:r>
      <w:r>
        <w:rPr>
          <w:rFonts w:cs="Calibri"/>
          <w:b/>
          <w:color w:val="2F5496" w:themeColor="accent1" w:themeShade="BF"/>
          <w:sz w:val="22"/>
        </w:rPr>
        <w:t>2.2</w:t>
      </w:r>
      <w:r w:rsidRPr="00305CCB">
        <w:rPr>
          <w:rFonts w:cs="Calibri"/>
          <w:b/>
          <w:color w:val="2F5496" w:themeColor="accent1" w:themeShade="BF"/>
          <w:sz w:val="22"/>
        </w:rPr>
        <w:t xml:space="preserve">) </w:t>
      </w:r>
      <w:r w:rsidRPr="00305CCB">
        <w:rPr>
          <w:rFonts w:cs="Calibri"/>
          <w:b/>
          <w:color w:val="2F5496" w:themeColor="accent1" w:themeShade="BF"/>
          <w:sz w:val="22"/>
          <w:u w:val="single"/>
        </w:rPr>
        <w:t xml:space="preserve">migliorie relative </w:t>
      </w:r>
      <w:r w:rsidRPr="005704C9">
        <w:rPr>
          <w:rFonts w:cs="Calibri"/>
          <w:b/>
          <w:color w:val="2F5496" w:themeColor="accent1" w:themeShade="BF"/>
          <w:sz w:val="22"/>
          <w:u w:val="single"/>
        </w:rPr>
        <w:t>alle modalità di rilievo e censimento per nuove dotazioni edilizie ed impiantistiche</w:t>
      </w:r>
    </w:p>
    <w:p w:rsidR="00305CCB" w:rsidRDefault="00305CCB"/>
    <w:p w:rsidR="00305CCB" w:rsidRDefault="00305CCB"/>
    <w:p w:rsidR="005704C9" w:rsidRPr="005704C9" w:rsidRDefault="005704C9" w:rsidP="006F6B19">
      <w:pPr>
        <w:spacing w:after="120" w:line="240" w:lineRule="auto"/>
        <w:ind w:left="425" w:hanging="425"/>
        <w:rPr>
          <w:rFonts w:cs="Calibri"/>
          <w:b/>
          <w:color w:val="2F5496" w:themeColor="accent1" w:themeShade="BF"/>
          <w:sz w:val="26"/>
          <w:szCs w:val="26"/>
        </w:rPr>
      </w:pPr>
      <w:r w:rsidRPr="005704C9">
        <w:rPr>
          <w:rFonts w:cs="Calibri"/>
          <w:b/>
          <w:color w:val="2F5496" w:themeColor="accent1" w:themeShade="BF"/>
          <w:sz w:val="26"/>
          <w:szCs w:val="26"/>
        </w:rPr>
        <w:t xml:space="preserve">B.3) </w:t>
      </w:r>
      <w:r w:rsidR="006F6B19">
        <w:rPr>
          <w:rFonts w:cs="Calibri"/>
          <w:b/>
          <w:color w:val="2F5496" w:themeColor="accent1" w:themeShade="BF"/>
          <w:sz w:val="26"/>
          <w:szCs w:val="26"/>
        </w:rPr>
        <w:t>C</w:t>
      </w:r>
      <w:r w:rsidRPr="005704C9">
        <w:rPr>
          <w:rFonts w:cs="Calibri"/>
          <w:b/>
          <w:color w:val="2F5496" w:themeColor="accent1" w:themeShade="BF"/>
          <w:sz w:val="26"/>
          <w:szCs w:val="26"/>
        </w:rPr>
        <w:t>ontenimento dei consumi energetici, delle risorse naturali, delle emissioni inquinanti, riferiti al ciclo di vita dell'opera</w:t>
      </w:r>
    </w:p>
    <w:p w:rsidR="005704C9" w:rsidRPr="00305CCB" w:rsidRDefault="005704C9" w:rsidP="005704C9">
      <w:pPr>
        <w:ind w:left="1134" w:hanging="708"/>
        <w:rPr>
          <w:rFonts w:cs="Calibri"/>
          <w:b/>
          <w:color w:val="2F5496" w:themeColor="accent1" w:themeShade="BF"/>
          <w:sz w:val="22"/>
          <w:u w:val="single"/>
        </w:rPr>
      </w:pPr>
      <w:r w:rsidRPr="00305CCB">
        <w:rPr>
          <w:rFonts w:cs="Calibri"/>
          <w:b/>
          <w:color w:val="2F5496" w:themeColor="accent1" w:themeShade="BF"/>
          <w:sz w:val="22"/>
        </w:rPr>
        <w:t>B.</w:t>
      </w:r>
      <w:r>
        <w:rPr>
          <w:rFonts w:cs="Calibri"/>
          <w:b/>
          <w:color w:val="2F5496" w:themeColor="accent1" w:themeShade="BF"/>
          <w:sz w:val="22"/>
        </w:rPr>
        <w:t>3.1</w:t>
      </w:r>
      <w:r w:rsidRPr="00305CCB">
        <w:rPr>
          <w:rFonts w:cs="Calibri"/>
          <w:b/>
          <w:color w:val="2F5496" w:themeColor="accent1" w:themeShade="BF"/>
          <w:sz w:val="22"/>
        </w:rPr>
        <w:t xml:space="preserve">) </w:t>
      </w:r>
      <w:r w:rsidRPr="00305CCB">
        <w:rPr>
          <w:rFonts w:cs="Calibri"/>
          <w:b/>
          <w:color w:val="2F5496" w:themeColor="accent1" w:themeShade="BF"/>
          <w:sz w:val="22"/>
          <w:u w:val="single"/>
        </w:rPr>
        <w:t xml:space="preserve">migliorie relative </w:t>
      </w:r>
      <w:r w:rsidRPr="005704C9">
        <w:rPr>
          <w:rFonts w:cs="Calibri"/>
          <w:b/>
          <w:color w:val="2F5496" w:themeColor="accent1" w:themeShade="BF"/>
          <w:sz w:val="22"/>
          <w:u w:val="single"/>
        </w:rPr>
        <w:t>al contenimento dei consumi energetici degli edifici oggetto del servizio</w:t>
      </w:r>
    </w:p>
    <w:p w:rsidR="005704C9" w:rsidRDefault="005704C9"/>
    <w:p w:rsidR="005704C9" w:rsidRDefault="005704C9"/>
    <w:p w:rsidR="005704C9" w:rsidRPr="00305CCB" w:rsidRDefault="005704C9" w:rsidP="005704C9">
      <w:pPr>
        <w:ind w:left="1134" w:hanging="708"/>
        <w:rPr>
          <w:rFonts w:cs="Calibri"/>
          <w:b/>
          <w:color w:val="2F5496" w:themeColor="accent1" w:themeShade="BF"/>
          <w:sz w:val="22"/>
          <w:u w:val="single"/>
        </w:rPr>
      </w:pPr>
      <w:r w:rsidRPr="00305CCB">
        <w:rPr>
          <w:rFonts w:cs="Calibri"/>
          <w:b/>
          <w:color w:val="2F5496" w:themeColor="accent1" w:themeShade="BF"/>
          <w:sz w:val="22"/>
        </w:rPr>
        <w:t>B.</w:t>
      </w:r>
      <w:r>
        <w:rPr>
          <w:rFonts w:cs="Calibri"/>
          <w:b/>
          <w:color w:val="2F5496" w:themeColor="accent1" w:themeShade="BF"/>
          <w:sz w:val="22"/>
        </w:rPr>
        <w:t>3.2</w:t>
      </w:r>
      <w:r w:rsidRPr="00305CCB">
        <w:rPr>
          <w:rFonts w:cs="Calibri"/>
          <w:b/>
          <w:color w:val="2F5496" w:themeColor="accent1" w:themeShade="BF"/>
          <w:sz w:val="22"/>
        </w:rPr>
        <w:t xml:space="preserve">) </w:t>
      </w:r>
      <w:r w:rsidRPr="00305CCB">
        <w:rPr>
          <w:rFonts w:cs="Calibri"/>
          <w:b/>
          <w:color w:val="2F5496" w:themeColor="accent1" w:themeShade="BF"/>
          <w:sz w:val="22"/>
          <w:u w:val="single"/>
        </w:rPr>
        <w:t xml:space="preserve">migliorie relative </w:t>
      </w:r>
      <w:r w:rsidRPr="005704C9">
        <w:rPr>
          <w:rFonts w:cs="Calibri"/>
          <w:b/>
          <w:color w:val="2F5496" w:themeColor="accent1" w:themeShade="BF"/>
          <w:sz w:val="22"/>
          <w:u w:val="single"/>
        </w:rPr>
        <w:t>all’allungamento del ciclo di vita utile dei manufatti e degli impianti oggetto del servizio</w:t>
      </w:r>
    </w:p>
    <w:p w:rsidR="005704C9" w:rsidRDefault="005704C9"/>
    <w:p w:rsidR="005704C9" w:rsidRDefault="005704C9"/>
    <w:p w:rsidR="005704C9" w:rsidRPr="006F6B19" w:rsidRDefault="00047A2D" w:rsidP="006F6B19">
      <w:pPr>
        <w:spacing w:after="120" w:line="240" w:lineRule="auto"/>
        <w:ind w:left="425" w:hanging="425"/>
        <w:rPr>
          <w:rFonts w:cs="Calibri"/>
          <w:b/>
          <w:color w:val="2F5496" w:themeColor="accent1" w:themeShade="BF"/>
          <w:sz w:val="26"/>
          <w:szCs w:val="26"/>
        </w:rPr>
      </w:pPr>
      <w:r w:rsidRPr="005704C9">
        <w:rPr>
          <w:rFonts w:cs="Calibri"/>
          <w:b/>
          <w:color w:val="2F5496" w:themeColor="accent1" w:themeShade="BF"/>
          <w:sz w:val="26"/>
          <w:szCs w:val="26"/>
        </w:rPr>
        <w:t>B.</w:t>
      </w:r>
      <w:r>
        <w:rPr>
          <w:rFonts w:cs="Calibri"/>
          <w:b/>
          <w:color w:val="2F5496" w:themeColor="accent1" w:themeShade="BF"/>
          <w:sz w:val="26"/>
          <w:szCs w:val="26"/>
        </w:rPr>
        <w:t>4</w:t>
      </w:r>
      <w:r w:rsidRPr="005704C9">
        <w:rPr>
          <w:rFonts w:cs="Calibri"/>
          <w:b/>
          <w:color w:val="2F5496" w:themeColor="accent1" w:themeShade="BF"/>
          <w:sz w:val="26"/>
          <w:szCs w:val="26"/>
        </w:rPr>
        <w:t xml:space="preserve">) </w:t>
      </w:r>
      <w:r w:rsidR="006F6B19">
        <w:rPr>
          <w:rFonts w:cs="Calibri"/>
          <w:b/>
          <w:color w:val="2F5496" w:themeColor="accent1" w:themeShade="BF"/>
          <w:sz w:val="26"/>
          <w:szCs w:val="26"/>
        </w:rPr>
        <w:t>Sistema organizzativo per lo svolgimento del servizio e qualificazione ed esperienza del personale addetto</w:t>
      </w:r>
    </w:p>
    <w:p w:rsidR="006F6B19" w:rsidRPr="00305CCB" w:rsidRDefault="006F6B19" w:rsidP="006F6B19">
      <w:pPr>
        <w:ind w:left="1134" w:hanging="708"/>
        <w:rPr>
          <w:rFonts w:cs="Calibri"/>
          <w:b/>
          <w:color w:val="2F5496" w:themeColor="accent1" w:themeShade="BF"/>
          <w:sz w:val="22"/>
          <w:u w:val="single"/>
        </w:rPr>
      </w:pPr>
      <w:r w:rsidRPr="00305CCB">
        <w:rPr>
          <w:rFonts w:cs="Calibri"/>
          <w:b/>
          <w:color w:val="2F5496" w:themeColor="accent1" w:themeShade="BF"/>
          <w:sz w:val="22"/>
        </w:rPr>
        <w:t>B.</w:t>
      </w:r>
      <w:r>
        <w:rPr>
          <w:rFonts w:cs="Calibri"/>
          <w:b/>
          <w:color w:val="2F5496" w:themeColor="accent1" w:themeShade="BF"/>
          <w:sz w:val="22"/>
        </w:rPr>
        <w:t>4.1</w:t>
      </w:r>
      <w:r w:rsidRPr="00305CCB">
        <w:rPr>
          <w:rFonts w:cs="Calibri"/>
          <w:b/>
          <w:color w:val="2F5496" w:themeColor="accent1" w:themeShade="BF"/>
          <w:sz w:val="22"/>
        </w:rPr>
        <w:t xml:space="preserve">) </w:t>
      </w:r>
      <w:r w:rsidRPr="006F6B19">
        <w:rPr>
          <w:rFonts w:cs="Calibri"/>
          <w:b/>
          <w:color w:val="2F5496" w:themeColor="accent1" w:themeShade="BF"/>
          <w:sz w:val="22"/>
          <w:u w:val="single"/>
        </w:rPr>
        <w:t>organizzazione e gestione della commessa, in termini di attrezzature e logistica</w:t>
      </w:r>
    </w:p>
    <w:p w:rsidR="006F6B19" w:rsidRDefault="006F6B19"/>
    <w:p w:rsidR="006F6B19" w:rsidRDefault="006F6B19"/>
    <w:p w:rsidR="006F6B19" w:rsidRPr="00305CCB" w:rsidRDefault="006F6B19" w:rsidP="006F6B19">
      <w:pPr>
        <w:ind w:left="1134" w:hanging="708"/>
        <w:rPr>
          <w:rFonts w:cs="Calibri"/>
          <w:b/>
          <w:color w:val="2F5496" w:themeColor="accent1" w:themeShade="BF"/>
          <w:sz w:val="22"/>
          <w:u w:val="single"/>
        </w:rPr>
      </w:pPr>
      <w:r w:rsidRPr="00305CCB">
        <w:rPr>
          <w:rFonts w:cs="Calibri"/>
          <w:b/>
          <w:color w:val="2F5496" w:themeColor="accent1" w:themeShade="BF"/>
          <w:sz w:val="22"/>
        </w:rPr>
        <w:t>B.</w:t>
      </w:r>
      <w:r>
        <w:rPr>
          <w:rFonts w:cs="Calibri"/>
          <w:b/>
          <w:color w:val="2F5496" w:themeColor="accent1" w:themeShade="BF"/>
          <w:sz w:val="22"/>
        </w:rPr>
        <w:t>4.2</w:t>
      </w:r>
      <w:r w:rsidRPr="00305CCB">
        <w:rPr>
          <w:rFonts w:cs="Calibri"/>
          <w:b/>
          <w:color w:val="2F5496" w:themeColor="accent1" w:themeShade="BF"/>
          <w:sz w:val="22"/>
        </w:rPr>
        <w:t xml:space="preserve">) </w:t>
      </w:r>
      <w:r w:rsidRPr="006F6B19">
        <w:rPr>
          <w:rFonts w:cs="Calibri"/>
          <w:b/>
          <w:color w:val="2F5496" w:themeColor="accent1" w:themeShade="BF"/>
          <w:sz w:val="22"/>
          <w:u w:val="single"/>
        </w:rPr>
        <w:t xml:space="preserve">metodologie tecnico-operative per il rilascio di un sistema di </w:t>
      </w:r>
      <w:proofErr w:type="spellStart"/>
      <w:r w:rsidRPr="006F6B19">
        <w:rPr>
          <w:rFonts w:cs="Calibri"/>
          <w:b/>
          <w:i/>
          <w:color w:val="2F5496" w:themeColor="accent1" w:themeShade="BF"/>
          <w:sz w:val="22"/>
          <w:u w:val="single"/>
        </w:rPr>
        <w:t>customer</w:t>
      </w:r>
      <w:proofErr w:type="spellEnd"/>
      <w:r w:rsidRPr="006F6B19">
        <w:rPr>
          <w:rFonts w:cs="Calibri"/>
          <w:b/>
          <w:i/>
          <w:color w:val="2F5496" w:themeColor="accent1" w:themeShade="BF"/>
          <w:sz w:val="22"/>
          <w:u w:val="single"/>
        </w:rPr>
        <w:t xml:space="preserve"> </w:t>
      </w:r>
      <w:proofErr w:type="spellStart"/>
      <w:r w:rsidRPr="006F6B19">
        <w:rPr>
          <w:rFonts w:cs="Calibri"/>
          <w:b/>
          <w:i/>
          <w:color w:val="2F5496" w:themeColor="accent1" w:themeShade="BF"/>
          <w:sz w:val="22"/>
          <w:u w:val="single"/>
        </w:rPr>
        <w:t>satisfaction</w:t>
      </w:r>
      <w:proofErr w:type="spellEnd"/>
      <w:r w:rsidRPr="006F6B19">
        <w:rPr>
          <w:rFonts w:cs="Calibri"/>
          <w:b/>
          <w:color w:val="2F5496" w:themeColor="accent1" w:themeShade="BF"/>
          <w:sz w:val="22"/>
          <w:u w:val="single"/>
        </w:rPr>
        <w:t xml:space="preserve"> sul servizio svolto</w:t>
      </w:r>
    </w:p>
    <w:p w:rsidR="006F6B19" w:rsidRDefault="006F6B19"/>
    <w:p w:rsidR="006F6B19" w:rsidRDefault="006F6B19"/>
    <w:p w:rsidR="006F6B19" w:rsidRPr="00305CCB" w:rsidRDefault="006F6B19" w:rsidP="006F6B19">
      <w:pPr>
        <w:ind w:left="1134" w:hanging="708"/>
        <w:rPr>
          <w:rFonts w:cs="Calibri"/>
          <w:b/>
          <w:color w:val="2F5496" w:themeColor="accent1" w:themeShade="BF"/>
          <w:sz w:val="22"/>
          <w:u w:val="single"/>
        </w:rPr>
      </w:pPr>
      <w:r w:rsidRPr="00305CCB">
        <w:rPr>
          <w:rFonts w:cs="Calibri"/>
          <w:b/>
          <w:color w:val="2F5496" w:themeColor="accent1" w:themeShade="BF"/>
          <w:sz w:val="22"/>
        </w:rPr>
        <w:t>B.</w:t>
      </w:r>
      <w:r>
        <w:rPr>
          <w:rFonts w:cs="Calibri"/>
          <w:b/>
          <w:color w:val="2F5496" w:themeColor="accent1" w:themeShade="BF"/>
          <w:sz w:val="22"/>
        </w:rPr>
        <w:t>4.3</w:t>
      </w:r>
      <w:r w:rsidRPr="00305CCB">
        <w:rPr>
          <w:rFonts w:cs="Calibri"/>
          <w:b/>
          <w:color w:val="2F5496" w:themeColor="accent1" w:themeShade="BF"/>
          <w:sz w:val="22"/>
        </w:rPr>
        <w:t xml:space="preserve">) </w:t>
      </w:r>
      <w:r>
        <w:rPr>
          <w:rFonts w:cs="Calibri"/>
          <w:b/>
          <w:color w:val="2F5496" w:themeColor="accent1" w:themeShade="BF"/>
          <w:sz w:val="22"/>
          <w:u w:val="single"/>
        </w:rPr>
        <w:t>m</w:t>
      </w:r>
      <w:r w:rsidRPr="006F6B19">
        <w:rPr>
          <w:rFonts w:cs="Calibri"/>
          <w:b/>
          <w:color w:val="2F5496" w:themeColor="accent1" w:themeShade="BF"/>
          <w:sz w:val="22"/>
          <w:u w:val="single"/>
        </w:rPr>
        <w:t>etodologie tecnico-operative per l’autocontrollo del servizio svolto</w:t>
      </w:r>
    </w:p>
    <w:p w:rsidR="006F6B19" w:rsidRDefault="006F6B19"/>
    <w:p w:rsidR="006F6B19" w:rsidRDefault="006F6B19"/>
    <w:p w:rsidR="006F6B19" w:rsidRPr="00305CCB" w:rsidRDefault="006F6B19" w:rsidP="006F6B19">
      <w:pPr>
        <w:ind w:left="1134" w:hanging="708"/>
        <w:rPr>
          <w:rFonts w:cs="Calibri"/>
          <w:b/>
          <w:color w:val="2F5496" w:themeColor="accent1" w:themeShade="BF"/>
          <w:sz w:val="22"/>
          <w:u w:val="single"/>
        </w:rPr>
      </w:pPr>
      <w:r w:rsidRPr="00305CCB">
        <w:rPr>
          <w:rFonts w:cs="Calibri"/>
          <w:b/>
          <w:color w:val="2F5496" w:themeColor="accent1" w:themeShade="BF"/>
          <w:sz w:val="22"/>
        </w:rPr>
        <w:t>B.</w:t>
      </w:r>
      <w:r>
        <w:rPr>
          <w:rFonts w:cs="Calibri"/>
          <w:b/>
          <w:color w:val="2F5496" w:themeColor="accent1" w:themeShade="BF"/>
          <w:sz w:val="22"/>
        </w:rPr>
        <w:t>4.4</w:t>
      </w:r>
      <w:r w:rsidRPr="00305CCB">
        <w:rPr>
          <w:rFonts w:cs="Calibri"/>
          <w:b/>
          <w:color w:val="2F5496" w:themeColor="accent1" w:themeShade="BF"/>
          <w:sz w:val="22"/>
        </w:rPr>
        <w:t xml:space="preserve">) </w:t>
      </w:r>
      <w:r w:rsidRPr="006F6B19">
        <w:rPr>
          <w:rFonts w:cs="Calibri"/>
          <w:b/>
          <w:color w:val="2F5496" w:themeColor="accent1" w:themeShade="BF"/>
          <w:sz w:val="22"/>
          <w:u w:val="single"/>
        </w:rPr>
        <w:t>figure tecniche coinvolte ed aggiornamenti formativi previsti nel corso dello svolgimento del servizio</w:t>
      </w:r>
    </w:p>
    <w:p w:rsidR="006F6B19" w:rsidRDefault="006F6B19"/>
    <w:sectPr w:rsidR="006F6B1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A9" w:rsidRDefault="006273A9" w:rsidP="00305CCB">
      <w:pPr>
        <w:spacing w:line="240" w:lineRule="auto"/>
      </w:pPr>
      <w:r>
        <w:separator/>
      </w:r>
    </w:p>
  </w:endnote>
  <w:endnote w:type="continuationSeparator" w:id="0">
    <w:p w:rsidR="006273A9" w:rsidRDefault="006273A9" w:rsidP="0030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773225"/>
      <w:docPartObj>
        <w:docPartGallery w:val="Page Numbers (Bottom of Page)"/>
        <w:docPartUnique/>
      </w:docPartObj>
    </w:sdtPr>
    <w:sdtEndPr/>
    <w:sdtContent>
      <w:p w:rsidR="00305CCB" w:rsidRDefault="00305CCB" w:rsidP="00305C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6FA">
          <w:rPr>
            <w:noProof/>
          </w:rPr>
          <w:t>1</w:t>
        </w:r>
        <w:r>
          <w:fldChar w:fldCharType="end"/>
        </w:r>
        <w:r>
          <w:t xml:space="preserve"> </w:t>
        </w:r>
        <w:r w:rsidRPr="00305CCB">
          <w:rPr>
            <w:sz w:val="20"/>
            <w:szCs w:val="20"/>
          </w:rPr>
          <w:t>di</w:t>
        </w:r>
        <w:r>
          <w:t xml:space="preserve"> </w:t>
        </w:r>
        <w:r w:rsidR="002E61E4">
          <w:t>3</w:t>
        </w:r>
        <w:r>
          <w:t>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A9" w:rsidRDefault="006273A9" w:rsidP="00305CCB">
      <w:pPr>
        <w:spacing w:line="240" w:lineRule="auto"/>
      </w:pPr>
      <w:r>
        <w:separator/>
      </w:r>
    </w:p>
  </w:footnote>
  <w:footnote w:type="continuationSeparator" w:id="0">
    <w:p w:rsidR="006273A9" w:rsidRDefault="006273A9" w:rsidP="00305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B" w:rsidRDefault="00305CCB" w:rsidP="00305CCB">
    <w:pPr>
      <w:pStyle w:val="Intestazione"/>
      <w:jc w:val="center"/>
    </w:pPr>
    <w:proofErr w:type="gramStart"/>
    <w:r w:rsidRPr="00305CCB">
      <w:rPr>
        <w:highlight w:val="yellow"/>
      </w:rPr>
      <w:t>…..</w:t>
    </w:r>
    <w:proofErr w:type="gramEnd"/>
    <w:r w:rsidRPr="00305CCB">
      <w:rPr>
        <w:highlight w:val="yellow"/>
      </w:rPr>
      <w:t>intestazione concorrente…..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CB"/>
    <w:rsid w:val="00047A2D"/>
    <w:rsid w:val="002E61E4"/>
    <w:rsid w:val="00305CCB"/>
    <w:rsid w:val="00451E2D"/>
    <w:rsid w:val="005704C9"/>
    <w:rsid w:val="006273A9"/>
    <w:rsid w:val="006D7B2B"/>
    <w:rsid w:val="006F6B19"/>
    <w:rsid w:val="0082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0A3545-656A-440D-854E-584812BA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CCB"/>
    <w:pPr>
      <w:spacing w:after="0" w:line="276" w:lineRule="auto"/>
      <w:jc w:val="both"/>
    </w:pPr>
    <w:rPr>
      <w:rFonts w:ascii="Garamond" w:eastAsia="Times New Roman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5CCB"/>
    <w:pPr>
      <w:ind w:left="720"/>
    </w:pPr>
    <w:rPr>
      <w:rFonts w:eastAsia="Calibri"/>
      <w:lang w:eastAsia="it-IT"/>
    </w:rPr>
  </w:style>
  <w:style w:type="table" w:styleId="Grigliatabella">
    <w:name w:val="Table Grid"/>
    <w:basedOn w:val="Tabellanormale"/>
    <w:uiPriority w:val="39"/>
    <w:rsid w:val="0030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5CC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CCB"/>
    <w:rPr>
      <w:rFonts w:ascii="Garamond" w:eastAsia="Times New Roman" w:hAnsi="Garamond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05CC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CCB"/>
    <w:rPr>
      <w:rFonts w:ascii="Garamond" w:eastAsia="Times New Roman" w:hAnsi="Garamond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FISCIANO</dc:creator>
  <cp:keywords/>
  <dc:description/>
  <cp:lastModifiedBy>Francesca Doriano</cp:lastModifiedBy>
  <cp:revision>2</cp:revision>
  <dcterms:created xsi:type="dcterms:W3CDTF">2019-07-11T09:31:00Z</dcterms:created>
  <dcterms:modified xsi:type="dcterms:W3CDTF">2019-07-11T09:31:00Z</dcterms:modified>
</cp:coreProperties>
</file>